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Heves Megyei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7D2ADB">
        <w:rPr>
          <w:szCs w:val="24"/>
          <w:lang w:eastAsia="en-US"/>
        </w:rPr>
        <w:t xml:space="preserve"> tű. hadnagy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310724" w:rsidRDefault="00AE2BF3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7D2ADB">
        <w:rPr>
          <w:szCs w:val="24"/>
          <w:lang w:eastAsia="en-US"/>
        </w:rPr>
        <w:t xml:space="preserve"> </w:t>
      </w:r>
      <w:r w:rsidR="00F5378F" w:rsidRPr="00F5378F">
        <w:rPr>
          <w:rFonts w:cs="Calibri"/>
        </w:rPr>
        <w:t>3250 Pétervására, Szabadság tér 12.</w:t>
      </w:r>
      <w:r w:rsidR="007D2ADB" w:rsidRPr="005B1668">
        <w:rPr>
          <w:rFonts w:cs="Calibri"/>
        </w:rPr>
        <w:t xml:space="preserve"> szám alatti </w:t>
      </w:r>
      <w:r w:rsidR="00F5378F" w:rsidRPr="00F5378F">
        <w:rPr>
          <w:rFonts w:cs="Calibri"/>
        </w:rPr>
        <w:t>Tamási Áron Általános Iskola</w:t>
      </w:r>
      <w:r w:rsidR="0052420F">
        <w:rPr>
          <w:rFonts w:cs="Calibri"/>
        </w:rPr>
        <w:t xml:space="preserve"> </w:t>
      </w:r>
      <w:r w:rsidR="0052420F" w:rsidRPr="0052420F">
        <w:rPr>
          <w:rFonts w:cs="Calibri"/>
        </w:rPr>
        <w:t>területére</w:t>
      </w:r>
      <w:r w:rsidR="0052420F">
        <w:rPr>
          <w:rFonts w:cs="Calibri"/>
        </w:rPr>
        <w:t xml:space="preserve"> tervezett automatikus tűzjelző berendezés létesítési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F5378F">
        <w:rPr>
          <w:szCs w:val="24"/>
          <w:lang w:eastAsia="en-US"/>
        </w:rPr>
        <w:t>103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Pr="00C7242C">
        <w:rPr>
          <w:szCs w:val="24"/>
          <w:lang w:eastAsia="en-US"/>
        </w:rPr>
        <w:t xml:space="preserve"> számú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F5378F">
        <w:rPr>
          <w:szCs w:val="24"/>
          <w:lang w:eastAsia="en-US"/>
        </w:rPr>
        <w:t>2022</w:t>
      </w:r>
      <w:r w:rsidRPr="00C7242C">
        <w:rPr>
          <w:szCs w:val="24"/>
          <w:lang w:eastAsia="en-US"/>
        </w:rPr>
        <w:t xml:space="preserve">. </w:t>
      </w:r>
      <w:r w:rsidR="00F5378F">
        <w:rPr>
          <w:szCs w:val="24"/>
          <w:lang w:eastAsia="en-US"/>
        </w:rPr>
        <w:t>február</w:t>
      </w:r>
      <w:r w:rsidR="007D2ADB">
        <w:rPr>
          <w:szCs w:val="24"/>
          <w:lang w:eastAsia="en-US"/>
        </w:rPr>
        <w:t xml:space="preserve"> </w:t>
      </w:r>
      <w:r w:rsidR="00F5378F">
        <w:rPr>
          <w:szCs w:val="24"/>
          <w:lang w:eastAsia="en-US"/>
        </w:rPr>
        <w:t>08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F5378F">
        <w:rPr>
          <w:szCs w:val="24"/>
          <w:lang w:eastAsia="en-US"/>
        </w:rPr>
        <w:t>103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7311CD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F5378F" w:rsidRPr="00F5378F">
        <w:rPr>
          <w:rFonts w:cs="Calibri"/>
        </w:rPr>
        <w:t>Tamási Áron Általános Iskola (3250 Pétervására, Szabadság tér 12.) területére tervezett automatikus tűzjelző berendezés használatbavételi engedélye</w:t>
      </w:r>
    </w:p>
    <w:p w:rsidR="0052420F" w:rsidRDefault="006106C4" w:rsidP="007311CD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Pr="00C7242C">
        <w:rPr>
          <w:szCs w:val="24"/>
          <w:lang w:eastAsia="en-US"/>
        </w:rPr>
        <w:t xml:space="preserve">: </w:t>
      </w:r>
      <w:r w:rsidR="00F5378F" w:rsidRPr="00F5378F">
        <w:rPr>
          <w:bCs/>
          <w:iCs/>
        </w:rPr>
        <w:t>Hatvani Tankerületi Központ (3000 Hatvan Radnóti tér 2.)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F5378F">
        <w:rPr>
          <w:szCs w:val="24"/>
          <w:lang w:eastAsia="en-US"/>
        </w:rPr>
        <w:t>2022</w:t>
      </w:r>
      <w:r w:rsidR="00DD4C82">
        <w:rPr>
          <w:szCs w:val="24"/>
          <w:lang w:eastAsia="en-US"/>
        </w:rPr>
        <w:t xml:space="preserve">. </w:t>
      </w:r>
      <w:r w:rsidR="00F5378F">
        <w:rPr>
          <w:szCs w:val="24"/>
          <w:lang w:eastAsia="en-US"/>
        </w:rPr>
        <w:t>februá</w:t>
      </w:r>
      <w:r w:rsidR="00902771">
        <w:rPr>
          <w:szCs w:val="24"/>
          <w:lang w:eastAsia="en-US"/>
        </w:rPr>
        <w:t>r</w:t>
      </w:r>
      <w:r w:rsidR="007D2ADB">
        <w:rPr>
          <w:szCs w:val="24"/>
          <w:lang w:eastAsia="en-US"/>
        </w:rPr>
        <w:t xml:space="preserve"> </w:t>
      </w:r>
      <w:r w:rsidR="00F5378F">
        <w:rPr>
          <w:szCs w:val="24"/>
          <w:lang w:eastAsia="en-US"/>
        </w:rPr>
        <w:t>08</w:t>
      </w:r>
      <w:bookmarkStart w:id="0" w:name="_GoBack"/>
      <w:bookmarkEnd w:id="0"/>
      <w:r w:rsidR="007D2ADB">
        <w:rPr>
          <w:szCs w:val="24"/>
          <w:lang w:eastAsia="en-US"/>
        </w:rPr>
        <w:t>.</w:t>
      </w:r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600CA1"/>
    <w:rsid w:val="006101AC"/>
    <w:rsid w:val="006106C4"/>
    <w:rsid w:val="00623719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02771"/>
    <w:rsid w:val="00914B38"/>
    <w:rsid w:val="00927B2D"/>
    <w:rsid w:val="00934537"/>
    <w:rsid w:val="009617D4"/>
    <w:rsid w:val="00990651"/>
    <w:rsid w:val="0099511F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54FC5"/>
    <w:rsid w:val="00C7242C"/>
    <w:rsid w:val="00C770EE"/>
    <w:rsid w:val="00C82DA2"/>
    <w:rsid w:val="00CA3C48"/>
    <w:rsid w:val="00CB0E8A"/>
    <w:rsid w:val="00CD0BB2"/>
    <w:rsid w:val="00CD3EF6"/>
    <w:rsid w:val="00D12118"/>
    <w:rsid w:val="00D15E25"/>
    <w:rsid w:val="00D22775"/>
    <w:rsid w:val="00D56AFA"/>
    <w:rsid w:val="00D60CA2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A7121"/>
    <w:rsid w:val="00EB579E"/>
    <w:rsid w:val="00EB6211"/>
    <w:rsid w:val="00EE64BE"/>
    <w:rsid w:val="00EE713A"/>
    <w:rsid w:val="00EF15C8"/>
    <w:rsid w:val="00F258B4"/>
    <w:rsid w:val="00F27A8B"/>
    <w:rsid w:val="00F5378F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92107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3</cp:revision>
  <cp:lastPrinted>2021-05-13T10:28:00Z</cp:lastPrinted>
  <dcterms:created xsi:type="dcterms:W3CDTF">2022-02-08T09:52:00Z</dcterms:created>
  <dcterms:modified xsi:type="dcterms:W3CDTF">2022-02-08T10:04:00Z</dcterms:modified>
</cp:coreProperties>
</file>